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vertAlign w:val="baseline"/>
          <w:rtl w:val="0"/>
        </w:rPr>
        <w:t xml:space="preserve">COTATI-ROHNERT PARK UNIFIED SCHOOL DISTRICT</w:t>
      </w:r>
    </w:p>
    <w:p w:rsidR="00000000" w:rsidDel="00000000" w:rsidP="00000000" w:rsidRDefault="00000000" w:rsidRPr="00000000" w14:paraId="00000002">
      <w:pPr>
        <w:pStyle w:val="Subtitle"/>
        <w:rPr>
          <w:vertAlign w:val="baseline"/>
        </w:rPr>
      </w:pPr>
      <w:r w:rsidDel="00000000" w:rsidR="00000000" w:rsidRPr="00000000">
        <w:rPr>
          <w:vertAlign w:val="baseline"/>
          <w:rtl w:val="0"/>
        </w:rPr>
        <w:t xml:space="preserve">Evaluation Goals &amp; Objectives</w:t>
      </w:r>
    </w:p>
    <w:p w:rsidR="00000000" w:rsidDel="00000000" w:rsidP="00000000" w:rsidRDefault="00000000" w:rsidRPr="00000000" w14:paraId="00000003">
      <w:pPr>
        <w:pStyle w:val="Heading1"/>
        <w:rPr>
          <w:vertAlign w:val="baseline"/>
        </w:rPr>
      </w:pPr>
      <w:r w:rsidDel="00000000" w:rsidR="00000000" w:rsidRPr="00000000">
        <w:rPr>
          <w:rtl w:val="0"/>
        </w:rPr>
      </w:r>
    </w:p>
    <w:tbl>
      <w:tblPr>
        <w:tblStyle w:val="Table1"/>
        <w:tblW w:w="13710.0" w:type="dxa"/>
        <w:jc w:val="left"/>
        <w:tblInd w:w="600.0" w:type="dxa"/>
        <w:tblLayout w:type="fixed"/>
        <w:tblLook w:val="0000"/>
      </w:tblPr>
      <w:tblGrid>
        <w:gridCol w:w="1440"/>
        <w:gridCol w:w="4560"/>
        <w:gridCol w:w="990"/>
        <w:gridCol w:w="6720"/>
        <w:tblGridChange w:id="0">
          <w:tblGrid>
            <w:gridCol w:w="1440"/>
            <w:gridCol w:w="4560"/>
            <w:gridCol w:w="990"/>
            <w:gridCol w:w="6720"/>
          </w:tblGrid>
        </w:tblGridChange>
      </w:tblGrid>
      <w:tr>
        <w:trPr>
          <w:cantSplit w:val="0"/>
          <w:trHeight w:val="260.9765625" w:hRule="atLeast"/>
          <w:tblHeader w:val="0"/>
        </w:trPr>
        <w:tc>
          <w:tcPr>
            <w:vAlign w:val="top"/>
          </w:tcPr>
          <w:p w:rsidR="00000000" w:rsidDel="00000000" w:rsidP="00000000" w:rsidRDefault="00000000" w:rsidRPr="00000000" w14:paraId="00000004">
            <w:pPr>
              <w:pStyle w:val="Heading1"/>
              <w:rPr>
                <w:vertAlign w:val="baseline"/>
              </w:rPr>
            </w:pPr>
            <w:r w:rsidDel="00000000" w:rsidR="00000000" w:rsidRPr="00000000">
              <w:rPr>
                <w:vertAlign w:val="baseline"/>
                <w:rtl w:val="0"/>
              </w:rPr>
              <w:t xml:space="preserve">Employee:</w:t>
            </w:r>
          </w:p>
        </w:tc>
        <w:tc>
          <w:tcPr>
            <w:vAlign w:val="top"/>
          </w:tcPr>
          <w:p w:rsidR="00000000" w:rsidDel="00000000" w:rsidP="00000000" w:rsidRDefault="00000000" w:rsidRPr="00000000" w14:paraId="00000005">
            <w:pPr>
              <w:pStyle w:val="Heading1"/>
              <w:jc w:val="left"/>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06">
            <w:pPr>
              <w:pStyle w:val="Heading1"/>
              <w:rPr>
                <w:vertAlign w:val="baseline"/>
              </w:rPr>
            </w:pPr>
            <w:r w:rsidDel="00000000" w:rsidR="00000000" w:rsidRPr="00000000">
              <w:rPr>
                <w:vertAlign w:val="baseline"/>
                <w:rtl w:val="0"/>
              </w:rPr>
              <w:t xml:space="preserve">School:</w:t>
            </w:r>
          </w:p>
        </w:tc>
        <w:tc>
          <w:tcPr>
            <w:vAlign w:val="top"/>
          </w:tcPr>
          <w:p w:rsidR="00000000" w:rsidDel="00000000" w:rsidP="00000000" w:rsidRDefault="00000000" w:rsidRPr="00000000" w14:paraId="00000007">
            <w:pPr>
              <w:pStyle w:val="Heading1"/>
              <w:jc w:val="left"/>
              <w:rPr>
                <w:vertAlign w:val="baseline"/>
              </w:rPr>
            </w:pPr>
            <w:r w:rsidDel="00000000" w:rsidR="00000000" w:rsidRPr="00000000">
              <w:rPr>
                <w:rtl w:val="0"/>
              </w:rPr>
            </w:r>
          </w:p>
        </w:tc>
      </w:tr>
    </w:tbl>
    <w:p w:rsidR="00000000" w:rsidDel="00000000" w:rsidP="00000000" w:rsidRDefault="00000000" w:rsidRPr="00000000" w14:paraId="00000008">
      <w:pPr>
        <w:pStyle w:val="Heading1"/>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vertAlign w:val="baseline"/>
          <w:rtl w:val="0"/>
        </w:rPr>
        <w:t xml:space="preserve">STANDARD THREE</w:t>
      </w:r>
    </w:p>
    <w:p w:rsidR="00000000" w:rsidDel="00000000" w:rsidP="00000000" w:rsidRDefault="00000000" w:rsidRPr="00000000" w14:paraId="0000000A">
      <w:pPr>
        <w:pStyle w:val="Heading2"/>
        <w:rPr>
          <w:vertAlign w:val="baseline"/>
        </w:rPr>
      </w:pPr>
      <w:r w:rsidDel="00000000" w:rsidR="00000000" w:rsidRPr="00000000">
        <w:rPr>
          <w:vertAlign w:val="baseline"/>
          <w:rtl w:val="0"/>
        </w:rPr>
        <w:t xml:space="preserve">UNDERSTANDING &amp; ORGANIZING SUBJECT MATTER FOR STUDENT LEARNING</w:t>
      </w:r>
    </w:p>
    <w:p w:rsidR="00000000" w:rsidDel="00000000" w:rsidP="00000000" w:rsidRDefault="00000000" w:rsidRPr="00000000" w14:paraId="0000000B">
      <w:pPr>
        <w:rPr>
          <w:vertAlign w:val="baseline"/>
        </w:rPr>
      </w:pPr>
      <w:r w:rsidDel="00000000" w:rsidR="00000000" w:rsidRPr="00000000">
        <w:rPr>
          <w:vertAlign w:val="baseline"/>
          <w:rtl w:val="0"/>
        </w:rPr>
        <w:tab/>
      </w:r>
    </w:p>
    <w:p w:rsidR="00000000" w:rsidDel="00000000" w:rsidP="00000000" w:rsidRDefault="00000000" w:rsidRPr="00000000" w14:paraId="0000000C">
      <w:pPr>
        <w:ind w:left="630" w:right="600" w:firstLine="0"/>
        <w:rPr>
          <w:i w:val="1"/>
          <w:sz w:val="20"/>
          <w:szCs w:val="20"/>
          <w:vertAlign w:val="baseline"/>
        </w:rPr>
      </w:pPr>
      <w:r w:rsidDel="00000000" w:rsidR="00000000" w:rsidRPr="00000000">
        <w:rPr>
          <w:i w:val="1"/>
          <w:sz w:val="20"/>
          <w:szCs w:val="20"/>
          <w:vertAlign w:val="baseline"/>
          <w:rtl w:val="0"/>
        </w:rPr>
        <w:t xml:space="preserve">The elements represent the key components of each standard.  It is not necessary to write an individual goal or objective for each element.  The elements are listed as a guide to assist in defining and developing goals &amp; objectives.  Numbers are provided for ease of reference.  They do not imply priority or ordering of the elements.</w:t>
      </w:r>
    </w:p>
    <w:p w:rsidR="00000000" w:rsidDel="00000000" w:rsidP="00000000" w:rsidRDefault="00000000" w:rsidRPr="00000000" w14:paraId="0000000D">
      <w:pPr>
        <w:rPr>
          <w:vertAlign w:val="baseline"/>
        </w:rPr>
      </w:pPr>
      <w:r w:rsidDel="00000000" w:rsidR="00000000" w:rsidRPr="00000000">
        <w:rPr>
          <w:rtl w:val="0"/>
        </w:rPr>
      </w:r>
    </w:p>
    <w:tbl>
      <w:tblPr>
        <w:tblStyle w:val="Table2"/>
        <w:tblW w:w="14087.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125"/>
        <w:gridCol w:w="7379"/>
        <w:gridCol w:w="2583"/>
        <w:tblGridChange w:id="0">
          <w:tblGrid>
            <w:gridCol w:w="4125"/>
            <w:gridCol w:w="7379"/>
            <w:gridCol w:w="2583"/>
          </w:tblGrid>
        </w:tblGridChange>
      </w:tblGrid>
      <w:tr>
        <w:trPr>
          <w:cantSplit w:val="0"/>
          <w:trHeight w:val="240"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E">
            <w:pPr>
              <w:rPr>
                <w:vertAlign w:val="baseline"/>
              </w:rPr>
            </w:pPr>
            <w:r w:rsidDel="00000000" w:rsidR="00000000" w:rsidRPr="00000000">
              <w:rPr>
                <w:vertAlign w:val="baseline"/>
                <w:rtl w:val="0"/>
              </w:rPr>
              <w:t xml:space="preserve">Elements: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rPr>
                <w:vertAlign w:val="baseline"/>
              </w:rPr>
            </w:pPr>
            <w:r w:rsidDel="00000000" w:rsidR="00000000" w:rsidRPr="00000000">
              <w:rPr>
                <w:vertAlign w:val="baseline"/>
                <w:rtl w:val="0"/>
              </w:rPr>
              <w:t xml:space="preserve">Goals &amp; Objectives:</w:t>
            </w:r>
          </w:p>
        </w:tc>
        <w:tc>
          <w:tcPr>
            <w:tcBorders>
              <w:left w:color="000000" w:space="0" w:sz="4" w:val="single"/>
              <w:bottom w:color="000000" w:space="0" w:sz="4" w:val="single"/>
            </w:tcBorders>
            <w:vAlign w:val="top"/>
          </w:tcPr>
          <w:p w:rsidR="00000000" w:rsidDel="00000000" w:rsidP="00000000" w:rsidRDefault="00000000" w:rsidRPr="00000000" w14:paraId="00000010">
            <w:pPr>
              <w:rPr>
                <w:vertAlign w:val="baseline"/>
              </w:rPr>
            </w:pPr>
            <w:r w:rsidDel="00000000" w:rsidR="00000000" w:rsidRPr="00000000">
              <w:rPr>
                <w:vertAlign w:val="baseline"/>
                <w:rtl w:val="0"/>
              </w:rPr>
              <w:t xml:space="preserve">Evidenced by:</w:t>
            </w:r>
          </w:p>
        </w:tc>
      </w:tr>
      <w:tr>
        <w:trPr>
          <w:cantSplit w:val="1"/>
          <w:trHeight w:val="416"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1">
            <w:pPr>
              <w:ind w:left="450" w:right="-45" w:hanging="450"/>
              <w:rPr>
                <w:vertAlign w:val="baseline"/>
              </w:rPr>
            </w:pPr>
            <w:r w:rsidDel="00000000" w:rsidR="00000000" w:rsidRPr="00000000">
              <w:rPr>
                <w:rtl w:val="0"/>
              </w:rPr>
              <w:t xml:space="preserve">3A: Teachers identify, organize, and teach key concepts, underlying themes, and relationships that address pre-K–12 state content standards and local subject- and grade-level expectations, and also promote students’ social–emotional and language development.</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2">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3">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4">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5">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6">
            <w:pPr>
              <w:rPr>
                <w:vertAlign w:val="baseline"/>
              </w:rPr>
            </w:pPr>
            <w:r w:rsidDel="00000000" w:rsidR="00000000" w:rsidRPr="00000000">
              <w:rPr>
                <w:vertAlign w:val="baseline"/>
                <w:rtl w:val="0"/>
              </w:rPr>
              <w:t xml:space="preserve">     </w:t>
            </w:r>
          </w:p>
        </w:tc>
        <w:tc>
          <w:tcPr>
            <w:vMerge w:val="restart"/>
            <w:tcBorders>
              <w:top w:color="000000" w:space="0" w:sz="4" w:val="single"/>
              <w:left w:color="000000" w:space="0" w:sz="4" w:val="single"/>
            </w:tcBorders>
            <w:vAlign w:val="top"/>
          </w:tcPr>
          <w:p w:rsidR="00000000" w:rsidDel="00000000" w:rsidP="00000000" w:rsidRDefault="00000000" w:rsidRPr="00000000" w14:paraId="00000017">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8">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9">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A">
            <w:pPr>
              <w:rPr>
                <w:vertAlign w:val="baseline"/>
              </w:rPr>
            </w:pPr>
            <w:r w:rsidDel="00000000" w:rsidR="00000000" w:rsidRPr="00000000">
              <w:rPr>
                <w:vertAlign w:val="baseline"/>
                <w:rtl w:val="0"/>
              </w:rPr>
              <w:t xml:space="preserve">     </w:t>
              <w:br w:type="textWrapping"/>
            </w:r>
          </w:p>
          <w:p w:rsidR="00000000" w:rsidDel="00000000" w:rsidP="00000000" w:rsidRDefault="00000000" w:rsidRPr="00000000" w14:paraId="0000001B">
            <w:pPr>
              <w:rPr>
                <w:vertAlign w:val="baseline"/>
              </w:rPr>
            </w:pPr>
            <w:r w:rsidDel="00000000" w:rsidR="00000000" w:rsidRPr="00000000">
              <w:rPr>
                <w:vertAlign w:val="baseline"/>
                <w:rtl w:val="0"/>
              </w:rPr>
              <w:t xml:space="preserve">     </w:t>
            </w:r>
          </w:p>
        </w:tc>
      </w:tr>
      <w:tr>
        <w:trPr>
          <w:cantSplit w:val="1"/>
          <w:trHeight w:val="1048"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C">
            <w:pPr>
              <w:ind w:left="450" w:right="-45" w:hanging="450"/>
              <w:rPr>
                <w:vertAlign w:val="baseline"/>
              </w:rPr>
            </w:pPr>
            <w:r w:rsidDel="00000000" w:rsidR="00000000" w:rsidRPr="00000000">
              <w:rPr>
                <w:rtl w:val="0"/>
              </w:rPr>
              <w:t xml:space="preserve">3B: Teachers engage students in real-world applications and leverage students’ unique backgrounds, perspectives, and cultural identities to make learning authentic, relevant, and meaningful.</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1D">
            <w:pPr>
              <w:rP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E">
            <w:pPr>
              <w:rPr>
                <w:vertAlign w:val="baseline"/>
              </w:rPr>
            </w:pPr>
            <w:r w:rsidDel="00000000" w:rsidR="00000000" w:rsidRPr="00000000">
              <w:rPr>
                <w:rtl w:val="0"/>
              </w:rPr>
            </w:r>
          </w:p>
        </w:tc>
      </w:tr>
      <w:tr>
        <w:trPr>
          <w:cantSplit w:val="1"/>
          <w:trHeight w:val="836"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F">
            <w:pPr>
              <w:ind w:left="450" w:right="-45" w:hanging="450"/>
              <w:rPr>
                <w:vertAlign w:val="baseline"/>
              </w:rPr>
            </w:pPr>
            <w:r w:rsidDel="00000000" w:rsidR="00000000" w:rsidRPr="00000000">
              <w:rPr>
                <w:rtl w:val="0"/>
              </w:rPr>
              <w:t xml:space="preserve">3C: Teachers design and implement content and resources that enable equitable access for every learner, including those with more complex needs, to essential academic and social– emotional concepts, to promote each learner’s growth.</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0">
            <w:pPr>
              <w:rP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1">
            <w:pPr>
              <w:rPr>
                <w:vertAlign w:val="baseline"/>
              </w:rPr>
            </w:pPr>
            <w:r w:rsidDel="00000000" w:rsidR="00000000" w:rsidRPr="00000000">
              <w:rPr>
                <w:rtl w:val="0"/>
              </w:rPr>
            </w:r>
          </w:p>
        </w:tc>
      </w:tr>
      <w:tr>
        <w:trPr>
          <w:cantSplit w:val="1"/>
          <w:trHeight w:val="63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22">
            <w:pPr>
              <w:ind w:left="450" w:right="-45" w:hanging="450"/>
              <w:rPr>
                <w:vertAlign w:val="baseline"/>
              </w:rPr>
            </w:pPr>
            <w:r w:rsidDel="00000000" w:rsidR="00000000" w:rsidRPr="00000000">
              <w:rPr>
                <w:rtl w:val="0"/>
              </w:rPr>
              <w:t xml:space="preserve">3D: Teachers elevate learning experiences enabling students to apply knowledge and skills across content areas to identify issues, explore proposed solutions, and examine relevant, complex subject matter.</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3">
            <w:pPr>
              <w:rP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4">
            <w:pPr>
              <w:rPr>
                <w:vertAlign w:val="baseline"/>
              </w:rPr>
            </w:pPr>
            <w:r w:rsidDel="00000000" w:rsidR="00000000" w:rsidRPr="00000000">
              <w:rPr>
                <w:rtl w:val="0"/>
              </w:rPr>
            </w:r>
          </w:p>
        </w:tc>
      </w:tr>
      <w:tr>
        <w:trPr>
          <w:cantSplit w:val="1"/>
          <w:trHeight w:val="14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ind w:left="450" w:right="-45" w:hanging="450"/>
              <w:rPr>
                <w:vertAlign w:val="baseline"/>
              </w:rPr>
            </w:pPr>
            <w:r w:rsidDel="00000000" w:rsidR="00000000" w:rsidRPr="00000000">
              <w:rPr>
                <w:rtl w:val="0"/>
              </w:rPr>
              <w:t xml:space="preserve">3E: Teachers select, use, and adapt standards-aligned instructional materials, evidence-based resources, and varied technologies to increase content and social–emotional learning options that are accessible, equitable, and culturally responsive and sustaining for each student.</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6">
            <w:pPr>
              <w:rP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27">
            <w:pPr>
              <w:rPr>
                <w:vertAlign w:val="baseline"/>
              </w:rPr>
            </w:pPr>
            <w:r w:rsidDel="00000000" w:rsidR="00000000" w:rsidRPr="00000000">
              <w:rPr>
                <w:rtl w:val="0"/>
              </w:rPr>
            </w:r>
          </w:p>
        </w:tc>
      </w:tr>
    </w:tbl>
    <w:p w:rsidR="00000000" w:rsidDel="00000000" w:rsidP="00000000" w:rsidRDefault="00000000" w:rsidRPr="00000000" w14:paraId="00000028">
      <w:pPr>
        <w:tabs>
          <w:tab w:val="center" w:leader="none" w:pos="4320"/>
          <w:tab w:val="right" w:leader="none" w:pos="8640"/>
        </w:tabs>
        <w:rPr>
          <w:vertAlign w:val="baseline"/>
        </w:rPr>
      </w:pPr>
      <w:r w:rsidDel="00000000" w:rsidR="00000000" w:rsidRPr="00000000">
        <w:rPr>
          <w:rtl w:val="0"/>
        </w:rPr>
      </w:r>
    </w:p>
    <w:p w:rsidR="00000000" w:rsidDel="00000000" w:rsidP="00000000" w:rsidRDefault="00000000" w:rsidRPr="00000000" w14:paraId="00000029">
      <w:pPr>
        <w:tabs>
          <w:tab w:val="center" w:leader="none" w:pos="4320"/>
          <w:tab w:val="right" w:leader="none" w:pos="8640"/>
        </w:tabs>
        <w:ind w:left="540" w:right="600" w:firstLine="0"/>
        <w:rPr/>
      </w:pPr>
      <w:r w:rsidDel="00000000" w:rsidR="00000000" w:rsidRPr="00000000">
        <w:rPr>
          <w:vertAlign w:val="baseline"/>
          <w:rtl w:val="0"/>
        </w:rPr>
        <w:t xml:space="preserve">     Signatures: </w:t>
      </w:r>
      <w:r w:rsidDel="00000000" w:rsidR="00000000" w:rsidRPr="00000000">
        <w:rPr>
          <w:rtl w:val="0"/>
        </w:rPr>
        <w:t xml:space="preserve">__________________________________________________________________________________________________</w:t>
      </w:r>
    </w:p>
    <w:p w:rsidR="00000000" w:rsidDel="00000000" w:rsidP="00000000" w:rsidRDefault="00000000" w:rsidRPr="00000000" w14:paraId="0000002A">
      <w:pPr>
        <w:tabs>
          <w:tab w:val="center" w:leader="none" w:pos="4320"/>
          <w:tab w:val="right" w:leader="none" w:pos="8640"/>
        </w:tabs>
        <w:ind w:left="540" w:right="600" w:firstLine="0"/>
        <w:rPr>
          <w:vertAlign w:val="baseline"/>
        </w:rPr>
      </w:pPr>
      <w:r w:rsidDel="00000000" w:rsidR="00000000" w:rsidRPr="00000000">
        <w:rPr>
          <w:vertAlign w:val="baseline"/>
          <w:rtl w:val="0"/>
        </w:rPr>
        <w:t xml:space="preserve">  </w:t>
        <w:tab/>
        <w:t xml:space="preserve">Employee</w:t>
        <w:tab/>
        <w:t xml:space="preserve">  Administrator</w:t>
        <w:tab/>
        <w:tab/>
        <w:tab/>
        <w:tab/>
        <w:tab/>
        <w:t xml:space="preserve">  Date</w:t>
      </w:r>
    </w:p>
    <w:sectPr>
      <w:footerReference r:id="rId6" w:type="default"/>
      <w:pgSz w:h="12240" w:w="15840" w:orient="landscape"/>
      <w:pgMar w:bottom="288" w:top="245" w:left="288" w:right="288"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sz w:val="18"/>
        <w:szCs w:val="18"/>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sz w:val="18"/>
        <w:szCs w:val="18"/>
      </w:rPr>
    </w:pPr>
    <w:r w:rsidDel="00000000" w:rsidR="00000000" w:rsidRPr="00000000">
      <w:rPr>
        <w:b w:val="1"/>
        <w:sz w:val="18"/>
        <w:szCs w:val="18"/>
        <w:rtl w:val="0"/>
      </w:rPr>
      <w:t xml:space="preserve">Revised 9/16/2025</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jc w:val="center"/>
    </w:pPr>
    <w:rPr>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jc w:val="center"/>
    </w:pPr>
    <w:rPr>
      <w:b w:val="1"/>
      <w:smallCap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